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300" w:lineRule="auto"/>
        <w:jc w:val="center"/>
      </w:pPr>
      <w:r>
        <w:rPr>
          <w:rFonts w:ascii="Calibri" w:hAnsi="Calibri" w:eastAsia="PingFang SC"/>
          <w:b/>
          <w:color w:val="3A704C"/>
          <w:sz w:val="24"/>
        </w:rPr>
        <w:t>手机上的 AI 创意方案</w:t>
      </w:r>
    </w:p>
    <w:p>
      <w:pPr>
        <w:spacing w:after="120"/>
        <w:jc w:val="center"/>
      </w:pPr>
      <w:r>
        <w:rPr>
          <w:rFonts w:ascii="Calibri" w:hAnsi="Calibri" w:eastAsia="PingFang SC"/>
          <w:b/>
          <w:color w:val="1F4D78"/>
          <w:sz w:val="48"/>
        </w:rPr>
        <w:t>康康：本地优先的个人健康档案</w:t>
      </w:r>
    </w:p>
    <w:p>
      <w:pPr>
        <w:spacing w:after="360"/>
        <w:jc w:val="center"/>
      </w:pPr>
      <w:r>
        <w:rPr>
          <w:rFonts w:ascii="Calibri" w:hAnsi="Calibri" w:eastAsia="PingFang SC"/>
          <w:color w:val="5F5F5F"/>
          <w:sz w:val="25"/>
        </w:rPr>
        <w:t>100% 本地推理 · 个人健康影像档案 · 大白话解读 · 结构化 RAG 问答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2300"/>
        <w:gridCol w:w="7060"/>
      </w:tblGrid>
      <w:tr>
        <w:tc>
          <w:tcPr>
            <w:tcW w:type="dxa" w:w="9360"/>
            <w:gridSpan w:val="2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1"/>
              </w:rPr>
              <w:t>项目概览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项目形态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iOS 原生 App，SwiftUI + SwiftData。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目标用户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不愿把体检报告、化验单、症状和用药记录交给云端的普通用户。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核心主张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健康数据默认留在手机里，本地模型负责整理、解释和检索。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技术主线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Qwen3.5-2B + MNN + Arm SME2/NEON，MLX Swift 作为模拟器和兜底后端。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边界声明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不做医疗诊断、剂量推荐、急诊判断、医生预约、账号系统或数据上云。</w:t>
            </w:r>
          </w:p>
        </w:tc>
      </w:tr>
    </w:tbl>
    <w:p>
      <w:pPr>
        <w:spacing w:after="8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1E5EA"/>
          <w:left w:val="single" w:sz="4" w:space="0" w:color="E1E5EA"/>
          <w:bottom w:val="single" w:sz="4" w:space="0" w:color="E1E5EA"/>
          <w:right w:val="single" w:sz="4" w:space="0" w:color="E1E5EA"/>
          <w:insideH w:val="single" w:sz="4" w:space="0" w:color="E1E5EA"/>
          <w:insideV w:val="single" w:sz="4" w:space="0" w:color="E1E5EA"/>
        </w:tblBorders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AF7"/>
          </w:tcPr>
          <w:p>
            <w:pPr>
              <w:spacing w:after="80"/>
            </w:pPr>
            <w:r/>
            <w:r>
              <w:rPr>
                <w:rFonts w:ascii="Calibri" w:hAnsi="Calibri" w:eastAsia="PingFang SC"/>
                <w:b/>
                <w:color w:val="3A704C"/>
                <w:sz w:val="22"/>
              </w:rPr>
              <w:t>一句话创意</w:t>
            </w:r>
          </w:p>
          <w:p>
            <w:pPr>
              <w:spacing w:after="0" w:line="293" w:lineRule="auto"/>
            </w:pPr>
            <w:r>
              <w:rPr>
                <w:rFonts w:ascii="Calibri" w:hAnsi="Calibri" w:eastAsia="PingFang SC"/>
                <w:color w:val="1F1F1F"/>
                <w:sz w:val="21"/>
              </w:rPr>
              <w:t>把体检报告、化验指标、症状、日记和用药记录收进一个本地健康档案，再让手机端本地大模型用普通人能听懂的语言帮助整理、回顾和就诊前准备。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1. 应用场景</w:t>
      </w:r>
    </w:p>
    <w:p>
      <w:pPr>
        <w:spacing w:after="160" w:line="300" w:lineRule="auto"/>
      </w:pPr>
      <w:r>
        <w:rPr>
          <w:rFonts w:ascii="Calibri" w:hAnsi="Calibri" w:eastAsia="PingFang SC"/>
          <w:b w:val="0"/>
          <w:color w:val="1F1F1F"/>
          <w:sz w:val="22"/>
        </w:rPr>
        <w:t>康康面向的是普通人的日常健康信息管理，而不是医院内部系统或专业诊疗工具。产品重点放在体检后、复查前、慢性指标长期观察、看医生前准备等高频生活场景。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1600"/>
        <w:gridCol w:w="2600"/>
        <w:gridCol w:w="5160"/>
      </w:tblGrid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场景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用户动作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康康提供的价值</w:t>
            </w:r>
          </w:p>
        </w:tc>
      </w:tr>
      <w:tr>
        <w:tc>
          <w:tcPr>
            <w:tcW w:type="dxa" w:w="1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体检或化验后</w:t>
            </w:r>
          </w:p>
        </w:tc>
        <w:tc>
          <w:tcPr>
            <w:tcW w:type="dxa" w:w="2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拍摄报告或从相册导入。</w:t>
            </w:r>
          </w:p>
        </w:tc>
        <w:tc>
          <w:tcPr>
            <w:tcW w:type="dxa" w:w="51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本地识别关键指标、参考范围和异常状态，形成可检索的报告档案。</w:t>
            </w:r>
          </w:p>
        </w:tc>
      </w:tr>
      <w:tr>
        <w:tc>
          <w:tcPr>
            <w:tcW w:type="dxa" w:w="1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长期指标记录</w:t>
            </w:r>
          </w:p>
        </w:tc>
        <w:tc>
          <w:tcPr>
            <w:tcW w:type="dxa" w:w="2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记录血压、血糖、体重、血脂等指标。</w:t>
            </w:r>
          </w:p>
        </w:tc>
        <w:tc>
          <w:tcPr>
            <w:tcW w:type="dxa" w:w="51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自动沉淀趋势曲线，用大白话说明最近变化，降低读图门槛。</w:t>
            </w:r>
          </w:p>
        </w:tc>
      </w:tr>
      <w:tr>
        <w:tc>
          <w:tcPr>
            <w:tcW w:type="dxa" w:w="1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症状与日记</w:t>
            </w:r>
          </w:p>
        </w:tc>
        <w:tc>
          <w:tcPr>
            <w:tcW w:type="dxa" w:w="2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随手记身体感受、睡眠、疼痛、用药等。</w:t>
            </w:r>
          </w:p>
        </w:tc>
        <w:tc>
          <w:tcPr>
            <w:tcW w:type="dxa" w:w="51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把零散记录整理成时间线，必要时由本地 AI 追问补全。</w:t>
            </w:r>
          </w:p>
        </w:tc>
      </w:tr>
      <w:tr>
        <w:tc>
          <w:tcPr>
            <w:tcW w:type="dxa" w:w="1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就诊前准备</w:t>
            </w:r>
          </w:p>
        </w:tc>
        <w:tc>
          <w:tcPr>
            <w:tcW w:type="dxa" w:w="2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输入“把最近一个月整理给医生看”。</w:t>
            </w:r>
          </w:p>
        </w:tc>
        <w:tc>
          <w:tcPr>
            <w:tcW w:type="dxa" w:w="51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本地检索症状、指标、报告和用药，生成可复制/分享的就诊摘要。</w:t>
            </w:r>
          </w:p>
        </w:tc>
      </w:tr>
      <w:tr>
        <w:tc>
          <w:tcPr>
            <w:tcW w:type="dxa" w:w="1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家庭健康管理</w:t>
            </w:r>
          </w:p>
        </w:tc>
        <w:tc>
          <w:tcPr>
            <w:tcW w:type="dxa" w:w="26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为父母或自己保存报告和复查信息。</w:t>
            </w:r>
          </w:p>
        </w:tc>
        <w:tc>
          <w:tcPr>
            <w:tcW w:type="dxa" w:w="51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减少纸质报告丢失、相册翻找和口头回忆遗漏。</w:t>
            </w:r>
          </w:p>
        </w:tc>
      </w:tr>
    </w:tbl>
    <w:p>
      <w:pPr>
        <w:spacing w:after="80"/>
      </w:pP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2. 用户痛点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看不懂：体检报告和化验单充满缩写、箭头、参考范围，普通人很难快速判断哪些值得关注。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找不到：健康信息散落在纸质报告、相册截图、备忘录和聊天记录里，复查或就医时很难完整回溯。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不敢传：健康报告包含年龄、医院、检查结果、既往问题等高度敏感信息，上传给云端 AI 会带来隐私顾虑。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记不全：看医生时常常忘记症状持续时间、近期指标变化、在服药物和过敏史。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工具割裂：传统健康记录 App 重记录轻解释，AI 聊天工具会解释但不沉淀长期个人档案。</w:t>
      </w:r>
    </w:p>
    <w:p>
      <w:r>
        <w:br w:type="page"/>
      </w: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3. 技术方案</w:t>
      </w:r>
    </w:p>
    <w:p>
      <w:pPr>
        <w:pStyle w:val="Heading2"/>
        <w:keepNext/>
        <w:spacing w:before="240" w:after="120"/>
      </w:pPr>
      <w:r>
        <w:rPr>
          <w:rFonts w:ascii="Calibri" w:hAnsi="Calibri" w:eastAsia="PingFang SC"/>
          <w:b/>
          <w:color w:val="2E74B5"/>
          <w:sz w:val="26"/>
        </w:rPr>
        <w:t>3.1 模型选型</w:t>
      </w:r>
    </w:p>
    <w:p>
      <w:pPr>
        <w:spacing w:after="160" w:line="300" w:lineRule="auto"/>
      </w:pPr>
      <w:r>
        <w:rPr>
          <w:rFonts w:ascii="Calibri" w:hAnsi="Calibri" w:eastAsia="PingFang SC"/>
          <w:b w:val="0"/>
          <w:color w:val="1F1F1F"/>
          <w:sz w:val="22"/>
        </w:rPr>
        <w:t>主模型选择 Qwen3.5-2B，原因是它在移动端内存和速度预算内更适合 demo 落地，同时承担文本解读和视觉识别两类任务，避免拆分多套模型造成下载、存储和加载复杂度上升。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2300"/>
        <w:gridCol w:w="7060"/>
      </w:tblGrid>
      <w:tr>
        <w:tc>
          <w:tcPr>
            <w:tcW w:type="dxa" w:w="9360"/>
            <w:gridSpan w:val="2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1"/>
              </w:rPr>
              <w:t>模型选型摘要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主路径模型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Qwen3.5-2B-MNN，约 1.2GB，面向真机端侧推理。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兜底模型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MLX Swift 对应的 Qwen3.5-2B-4bit，主要用于模拟器、调试和 MNN 不可用时的兜底。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能力覆盖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报告/药盒等图片识别、健康文本整理、趋势解释、身体档案问答和就诊摘要。</w:t>
            </w:r>
          </w:p>
        </w:tc>
      </w:tr>
      <w:tr>
        <w:tc>
          <w:tcPr>
            <w:tcW w:type="dxa" w:w="2300"/>
            <w:shd w:fill="FFFFFF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20"/>
              </w:rPr>
              <w:t>取舍逻辑</w:t>
            </w:r>
          </w:p>
        </w:tc>
        <w:tc>
          <w:tcPr>
            <w:tcW w:type="dxa" w:w="7060"/>
            <w:shd w:fill="FFFFFF"/>
          </w:tcPr>
          <w:p>
            <w:pPr>
              <w:spacing w:after="0" w:line="283" w:lineRule="auto"/>
            </w:pPr>
            <w:r>
              <w:rPr>
                <w:rFonts w:ascii="Calibri" w:hAnsi="Calibri" w:eastAsia="PingFang SC"/>
                <w:color w:val="1F1F1F"/>
                <w:sz w:val="20"/>
              </w:rPr>
              <w:t>不用更大模型追求极限效果，而是优先保证端侧速度、内存可控、下载可接受和 demo 可复现。</w:t>
            </w:r>
          </w:p>
        </w:tc>
      </w:tr>
    </w:tbl>
    <w:p>
      <w:pPr>
        <w:spacing w:after="80"/>
      </w:pPr>
    </w:p>
    <w:p>
      <w:pPr>
        <w:pStyle w:val="Heading2"/>
        <w:keepNext/>
        <w:spacing w:before="240" w:after="120"/>
      </w:pPr>
      <w:r>
        <w:rPr>
          <w:rFonts w:ascii="Calibri" w:hAnsi="Calibri" w:eastAsia="PingFang SC"/>
          <w:b/>
          <w:color w:val="2E74B5"/>
          <w:sz w:val="26"/>
        </w:rPr>
        <w:t>3.2 推理框架</w:t>
      </w:r>
    </w:p>
    <w:p>
      <w:pPr>
        <w:spacing w:after="160" w:line="300" w:lineRule="auto"/>
      </w:pPr>
      <w:r>
        <w:rPr>
          <w:rFonts w:ascii="Calibri" w:hAnsi="Calibri" w:eastAsia="PingFang SC"/>
          <w:b w:val="0"/>
          <w:color w:val="1F1F1F"/>
          <w:sz w:val="22"/>
        </w:rPr>
        <w:t>推理框架采用双后端策略：真机主路径为阿里开源 MNN，面向挑战赛的 Qwen + MNN + SME2 端侧 CPU 推理；MLX Swift 作为 Apple 官方 Metal GPU 兜底，用于模拟器和对照测试。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1900"/>
        <w:gridCol w:w="3200"/>
        <w:gridCol w:w="4260"/>
      </w:tblGrid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模块</w:t>
            </w:r>
          </w:p>
        </w:tc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方案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作用</w:t>
            </w:r>
          </w:p>
        </w:tc>
      </w:tr>
      <w:tr>
        <w:tc>
          <w:tcPr>
            <w:tcW w:type="dxa" w:w="1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MNNBackend</w:t>
            </w:r>
          </w:p>
        </w:tc>
        <w:tc>
          <w:tcPr>
            <w:tcW w:type="dxa" w:w="32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ObjC++ 桥接 MNN LLM 能力。</w:t>
            </w:r>
          </w:p>
        </w:tc>
        <w:tc>
          <w:tcPr>
            <w:tcW w:type="dxa" w:w="42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在真机上加载 Qwen3.5-2B-MNN，支撑文本生成与视觉分析。</w:t>
            </w:r>
          </w:p>
        </w:tc>
      </w:tr>
      <w:tr>
        <w:tc>
          <w:tcPr>
            <w:tcW w:type="dxa" w:w="1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InferenceEngine</w:t>
            </w:r>
          </w:p>
        </w:tc>
        <w:tc>
          <w:tcPr>
            <w:tcW w:type="dxa" w:w="32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auto / mnn / mlx 三种偏好。</w:t>
            </w:r>
          </w:p>
        </w:tc>
        <w:tc>
          <w:tcPr>
            <w:tcW w:type="dxa" w:w="42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真机优先 MNN，MNN 不可用时自动回退 MLX。</w:t>
            </w:r>
          </w:p>
        </w:tc>
      </w:tr>
      <w:tr>
        <w:tc>
          <w:tcPr>
            <w:tcW w:type="dxa" w:w="1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AIRuntime</w:t>
            </w:r>
          </w:p>
        </w:tc>
        <w:tc>
          <w:tcPr>
            <w:tcW w:type="dxa" w:w="32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actor 单例 + 推理闸门。</w:t>
            </w:r>
          </w:p>
        </w:tc>
        <w:tc>
          <w:tcPr>
            <w:tcW w:type="dxa" w:w="42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串行化模型加载、文本生成和视觉推理，避免并发 OOM。</w:t>
            </w:r>
          </w:p>
        </w:tc>
      </w:tr>
      <w:tr>
        <w:tc>
          <w:tcPr>
            <w:tcW w:type="dxa" w:w="1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ModelStore</w:t>
            </w:r>
          </w:p>
        </w:tc>
        <w:tc>
          <w:tcPr>
            <w:tcW w:type="dxa" w:w="32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Application Support/Models。</w:t>
            </w:r>
          </w:p>
        </w:tc>
        <w:tc>
          <w:tcPr>
            <w:tcW w:type="dxa" w:w="42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管理模型下载、就绪校验和现场旁路导入。</w:t>
            </w:r>
          </w:p>
        </w:tc>
      </w:tr>
    </w:tbl>
    <w:p>
      <w:pPr>
        <w:spacing w:after="80"/>
      </w:pPr>
    </w:p>
    <w:p>
      <w:pPr>
        <w:pStyle w:val="Heading2"/>
        <w:keepNext/>
        <w:spacing w:before="240" w:after="120"/>
      </w:pPr>
      <w:r>
        <w:rPr>
          <w:rFonts w:ascii="Calibri" w:hAnsi="Calibri" w:eastAsia="PingFang SC"/>
          <w:b/>
          <w:color w:val="2E74B5"/>
          <w:sz w:val="26"/>
        </w:rPr>
        <w:t>3.3 端侧适配思路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设备优先级：支持 MNN 的真机默认走 MNN；支持 SME2 的 A19/iPhone17 走 SME2 加速，旧设备回退 NEON；模拟器走 MLX。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内存控制：AIRuntime 使用 actor 内信号量，保证同一时间只有一个重推理任务占用模型内存；加载 LLM 前卸载 VL，加载 MNN 前卸载 MLX 侧模型。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体验兜底：模型未就绪时 App 仍可启动，AI 入口提示前往模型管理；意图抽取失败时回退近 30 天全表扫描；识别失败时回退手动录入。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结构化 RAG：不引入 embedding 模型，先由本地模型抽取意图和关键词，再用 SwiftData 检索指标、报告、症状和日记，最后拼接上下文生成回答。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隐私保护：报告原图只保存到本地 Vault，SwiftData 存结构化记录；使用 iOS completeFileProtection、Face ID 启动锁和永久删除。</w:t>
      </w: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4. 创新点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1800"/>
        <w:gridCol w:w="3900"/>
        <w:gridCol w:w="36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创新点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说明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差异化价值</w:t>
            </w:r>
          </w:p>
        </w:tc>
      </w:tr>
      <w:tr>
        <w:tc>
          <w:tcPr>
            <w:tcW w:type="dxa" w:w="18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本地优先健康 AI</w:t>
            </w:r>
          </w:p>
        </w:tc>
        <w:tc>
          <w:tcPr>
            <w:tcW w:type="dxa" w:w="3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AI 不依赖云端 API，核心解读和问答在手机内完成。</w:t>
            </w:r>
          </w:p>
        </w:tc>
        <w:tc>
          <w:tcPr>
            <w:tcW w:type="dxa" w:w="36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解决健康数据上传焦虑，形成隐私可信的 AI 体验。</w:t>
            </w:r>
          </w:p>
        </w:tc>
      </w:tr>
      <w:tr>
        <w:tc>
          <w:tcPr>
            <w:tcW w:type="dxa" w:w="18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影像档案 + AI 解读闭环</w:t>
            </w:r>
          </w:p>
        </w:tc>
        <w:tc>
          <w:tcPr>
            <w:tcW w:type="dxa" w:w="3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拍报告、识别、归档、趋势、问答、摘要串成一个系统。</w:t>
            </w:r>
          </w:p>
        </w:tc>
        <w:tc>
          <w:tcPr>
            <w:tcW w:type="dxa" w:w="36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不是单点 OCR 或聊天框，而是长期可用的个人健康档案。</w:t>
            </w:r>
          </w:p>
        </w:tc>
      </w:tr>
      <w:tr>
        <w:tc>
          <w:tcPr>
            <w:tcW w:type="dxa" w:w="18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MNN + SME2 端侧推理</w:t>
            </w:r>
          </w:p>
        </w:tc>
        <w:tc>
          <w:tcPr>
            <w:tcW w:type="dxa" w:w="3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将 Qwen 模型通过 MNN 接入 iPhone CPU/SME2 路径。</w:t>
            </w:r>
          </w:p>
        </w:tc>
        <w:tc>
          <w:tcPr>
            <w:tcW w:type="dxa" w:w="36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展示大模型在移动 CPU 上可复现运行的技术亮点。</w:t>
            </w:r>
          </w:p>
        </w:tc>
      </w:tr>
      <w:tr>
        <w:tc>
          <w:tcPr>
            <w:tcW w:type="dxa" w:w="18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轻量结构化 RAG</w:t>
            </w:r>
          </w:p>
        </w:tc>
        <w:tc>
          <w:tcPr>
            <w:tcW w:type="dxa" w:w="3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利用 SwiftData 已有结构化记录检索，不额外引入 embedding 模型。</w:t>
            </w:r>
          </w:p>
        </w:tc>
        <w:tc>
          <w:tcPr>
            <w:tcW w:type="dxa" w:w="36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降低端侧存储和计算成本，响应更可控。</w:t>
            </w:r>
          </w:p>
        </w:tc>
      </w:tr>
      <w:tr>
        <w:tc>
          <w:tcPr>
            <w:tcW w:type="dxa" w:w="18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明确医疗边界</w:t>
            </w:r>
          </w:p>
        </w:tc>
        <w:tc>
          <w:tcPr>
            <w:tcW w:type="dxa" w:w="39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只做记录、整理和科普式解释，不做诊断、用药和急诊判断。</w:t>
            </w:r>
          </w:p>
        </w:tc>
        <w:tc>
          <w:tcPr>
            <w:tcW w:type="dxa" w:w="36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既保留实用价值，也降低合规和误导风险。</w:t>
            </w:r>
          </w:p>
        </w:tc>
      </w:tr>
    </w:tbl>
    <w:p>
      <w:pPr>
        <w:spacing w:after="80"/>
      </w:pP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5. 预期效果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1E5EA"/>
          <w:left w:val="single" w:sz="4" w:space="0" w:color="E1E5EA"/>
          <w:bottom w:val="single" w:sz="4" w:space="0" w:color="E1E5EA"/>
          <w:right w:val="single" w:sz="4" w:space="0" w:color="E1E5EA"/>
          <w:insideH w:val="single" w:sz="4" w:space="0" w:color="E1E5EA"/>
          <w:insideV w:val="single" w:sz="4" w:space="0" w:color="E1E5EA"/>
        </w:tblBorders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AF7"/>
          </w:tcPr>
          <w:p>
            <w:pPr>
              <w:spacing w:after="80"/>
            </w:pPr>
            <w:r/>
            <w:r>
              <w:rPr>
                <w:rFonts w:ascii="Calibri" w:hAnsi="Calibri" w:eastAsia="PingFang SC"/>
                <w:b/>
                <w:color w:val="3A704C"/>
                <w:sz w:val="22"/>
              </w:rPr>
              <w:t>用户侧效果</w:t>
            </w:r>
          </w:p>
          <w:p>
            <w:pPr>
              <w:spacing w:after="0" w:line="293" w:lineRule="auto"/>
            </w:pPr>
            <w:r>
              <w:rPr>
                <w:rFonts w:ascii="Calibri" w:hAnsi="Calibri" w:eastAsia="PingFang SC"/>
                <w:color w:val="1F1F1F"/>
                <w:sz w:val="21"/>
              </w:rPr>
              <w:t>用户可以把报告、指标、症状和用药从碎片化记录变成可检索、可回顾、可解释的个人健康档案；在看医生前，用一份摘要减少遗漏和重复描述。</w:t>
            </w:r>
          </w:p>
        </w:tc>
      </w:tr>
    </w:tbl>
    <w:p>
      <w:pPr>
        <w:spacing w:after="8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1E5EA"/>
          <w:left w:val="single" w:sz="4" w:space="0" w:color="E1E5EA"/>
          <w:bottom w:val="single" w:sz="4" w:space="0" w:color="E1E5EA"/>
          <w:right w:val="single" w:sz="4" w:space="0" w:color="E1E5EA"/>
          <w:insideH w:val="single" w:sz="4" w:space="0" w:color="E1E5EA"/>
          <w:insideV w:val="single" w:sz="4" w:space="0" w:color="E1E5EA"/>
        </w:tblBorders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80"/>
            </w:pPr>
            <w:r/>
            <w:r>
              <w:rPr>
                <w:rFonts w:ascii="Calibri" w:hAnsi="Calibri" w:eastAsia="PingFang SC"/>
                <w:b/>
                <w:color w:val="1F4D78"/>
                <w:sz w:val="22"/>
              </w:rPr>
              <w:t>技术侧效果</w:t>
            </w:r>
          </w:p>
          <w:p>
            <w:pPr>
              <w:spacing w:after="0" w:line="293" w:lineRule="auto"/>
            </w:pPr>
            <w:r>
              <w:rPr>
                <w:rFonts w:ascii="Calibri" w:hAnsi="Calibri" w:eastAsia="PingFang SC"/>
                <w:color w:val="1F1F1F"/>
                <w:sz w:val="21"/>
              </w:rPr>
              <w:t>验证 Qwen3.5-2B 在 MNN + SME2/NEON 端侧 CPU 路径上的可用性，形成模型下载、引擎选择、性能自检、推理串行、失败兜底和本地数据检索的一体化方案。</w:t>
            </w:r>
          </w:p>
        </w:tc>
      </w:tr>
    </w:tbl>
    <w:p>
      <w:pPr>
        <w:spacing w:after="8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1E5EA"/>
          <w:left w:val="single" w:sz="4" w:space="0" w:color="E1E5EA"/>
          <w:bottom w:val="single" w:sz="4" w:space="0" w:color="E1E5EA"/>
          <w:right w:val="single" w:sz="4" w:space="0" w:color="E1E5EA"/>
          <w:insideH w:val="single" w:sz="4" w:space="0" w:color="E1E5EA"/>
          <w:insideV w:val="single" w:sz="4" w:space="0" w:color="E1E5EA"/>
        </w:tblBorders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F2"/>
          </w:tcPr>
          <w:p>
            <w:pPr>
              <w:spacing w:after="80"/>
            </w:pPr>
            <w:r/>
            <w:r>
              <w:rPr>
                <w:rFonts w:ascii="Calibri" w:hAnsi="Calibri" w:eastAsia="PingFang SC"/>
                <w:b/>
                <w:color w:val="9A4E41"/>
                <w:sz w:val="22"/>
              </w:rPr>
              <w:t>展示侧效果</w:t>
            </w:r>
          </w:p>
          <w:p>
            <w:pPr>
              <w:spacing w:after="0" w:line="293" w:lineRule="auto"/>
            </w:pPr>
            <w:r>
              <w:rPr>
                <w:rFonts w:ascii="Calibri" w:hAnsi="Calibri" w:eastAsia="PingFang SC"/>
                <w:color w:val="1F1F1F"/>
                <w:sz w:val="21"/>
              </w:rPr>
              <w:t>比赛或路演时可以通过飞行模式、本地模型管理页、性能自检 tok/s、报告识别前后对比和身体档案摘要，清晰证明“不是云端套壳，而是端侧 AI 创意应用”。</w:t>
            </w:r>
          </w:p>
        </w:tc>
      </w:tr>
    </w:tbl>
    <w:p>
      <w:pPr>
        <w:spacing w:after="80"/>
      </w:pP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6. 方案完整性</w:t>
      </w:r>
    </w:p>
    <w:p>
      <w:pPr>
        <w:spacing w:after="160" w:line="300" w:lineRule="auto"/>
      </w:pPr>
      <w:r>
        <w:rPr>
          <w:rFonts w:ascii="Calibri" w:hAnsi="Calibri" w:eastAsia="PingFang SC"/>
          <w:b w:val="0"/>
          <w:color w:val="1F1F1F"/>
          <w:sz w:val="22"/>
        </w:rPr>
        <w:t>康康的完整性体现在产品、技术和安全边界三条线同时闭合：用户能完成从采集到回顾再到就诊摘要的闭环；技术上有模型、运行时、数据、服务层和 UI 的分层；安全上明确不引入云服务、不做账号、不做自研密码学。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ADCE0"/>
          <w:left w:val="single" w:sz="5" w:space="0" w:color="DADCE0"/>
          <w:bottom w:val="single" w:sz="5" w:space="0" w:color="DADCE0"/>
          <w:right w:val="single" w:sz="5" w:space="0" w:color="DADCE0"/>
          <w:insideH w:val="single" w:sz="5" w:space="0" w:color="DADCE0"/>
          <w:insideV w:val="single" w:sz="5" w:space="0" w:color="DADCE0"/>
        </w:tblBorders>
      </w:tblPr>
      <w:tblGrid>
        <w:gridCol w:w="1500"/>
        <w:gridCol w:w="5000"/>
        <w:gridCol w:w="2860"/>
      </w:tblGrid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层级</w:t>
            </w:r>
          </w:p>
        </w:tc>
        <w:tc>
          <w:tcPr>
            <w:tcW w:type="dxa" w:w="5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已覆盖能力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 w:eastAsia="PingFang SC"/>
                <w:b/>
                <w:color w:val="1F4D78"/>
                <w:sz w:val="19"/>
              </w:rPr>
              <w:t>设计原则</w:t>
            </w:r>
          </w:p>
        </w:tc>
      </w:tr>
      <w:tr>
        <w:tc>
          <w:tcPr>
            <w:tcW w:type="dxa" w:w="15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采集层</w:t>
            </w:r>
          </w:p>
        </w:tc>
        <w:tc>
          <w:tcPr>
            <w:tcW w:type="dxa" w:w="50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拍报告、记录指标、写日记、记症状、药品识别。</w:t>
            </w:r>
          </w:p>
        </w:tc>
        <w:tc>
          <w:tcPr>
            <w:tcW w:type="dxa" w:w="28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入口轻，失败可手动补录。</w:t>
            </w:r>
          </w:p>
        </w:tc>
      </w:tr>
      <w:tr>
        <w:tc>
          <w:tcPr>
            <w:tcW w:type="dxa" w:w="15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数据层</w:t>
            </w:r>
          </w:p>
        </w:tc>
        <w:tc>
          <w:tcPr>
            <w:tcW w:type="dxa" w:w="50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SwiftData 模型：Indicator、Report、DiaryEntry、Symptom、Asset、ChatTurn、UserProfile 等。</w:t>
            </w:r>
          </w:p>
        </w:tc>
        <w:tc>
          <w:tcPr>
            <w:tcW w:type="dxa" w:w="28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结构化保存，便于检索和趋势计算。</w:t>
            </w:r>
          </w:p>
        </w:tc>
      </w:tr>
      <w:tr>
        <w:tc>
          <w:tcPr>
            <w:tcW w:type="dxa" w:w="15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AI 层</w:t>
            </w:r>
          </w:p>
        </w:tc>
        <w:tc>
          <w:tcPr>
            <w:tcW w:type="dxa" w:w="50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CaptureService、HealthExportService、TrendInsightService 经 AIRuntime 调用本地模型。</w:t>
            </w:r>
          </w:p>
        </w:tc>
        <w:tc>
          <w:tcPr>
            <w:tcW w:type="dxa" w:w="28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UI 不直连模型，推理统一排队。</w:t>
            </w:r>
          </w:p>
        </w:tc>
      </w:tr>
      <w:tr>
        <w:tc>
          <w:tcPr>
            <w:tcW w:type="dxa" w:w="15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展示层</w:t>
            </w:r>
          </w:p>
        </w:tc>
        <w:tc>
          <w:tcPr>
            <w:tcW w:type="dxa" w:w="50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首页、记录、趋势、我的、模型管理、身体档案摘要。</w:t>
            </w:r>
          </w:p>
        </w:tc>
        <w:tc>
          <w:tcPr>
            <w:tcW w:type="dxa" w:w="28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围绕 demo 核心卖点组织信息。</w:t>
            </w:r>
          </w:p>
        </w:tc>
      </w:tr>
      <w:tr>
        <w:tc>
          <w:tcPr>
            <w:tcW w:type="dxa" w:w="15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隐私层</w:t>
            </w:r>
          </w:p>
        </w:tc>
        <w:tc>
          <w:tcPr>
            <w:tcW w:type="dxa" w:w="500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本地 Vault、completeFileProtection、Face ID、永久删除、无账号无云。</w:t>
            </w:r>
          </w:p>
        </w:tc>
        <w:tc>
          <w:tcPr>
            <w:tcW w:type="dxa" w:w="2860"/>
            <w:shd w:fill="FFFFFF"/>
          </w:tcPr>
          <w:p>
            <w:pPr>
              <w:spacing w:after="0" w:line="278" w:lineRule="auto"/>
            </w:pPr>
            <w:r>
              <w:rPr>
                <w:rFonts w:ascii="Calibri" w:hAnsi="Calibri" w:eastAsia="PingFang SC"/>
                <w:color w:val="1F1F1F"/>
                <w:sz w:val="18"/>
              </w:rPr>
              <w:t>使用系统能力，不自造密码学。</w:t>
            </w:r>
          </w:p>
        </w:tc>
      </w:tr>
    </w:tbl>
    <w:p>
      <w:pPr>
        <w:spacing w:after="80"/>
      </w:pP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7. 风险与边界控制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AI 输出仅作为健康记录整理与科普式解释，不作为医疗诊断、治疗、用药或剂量建议。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识别结果必须允许用户核对和编辑，避免把模型错误直接落成事实。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端侧模型受设备性能、内存和电量影响，需要模型未就绪、加载失败、低性能设备等状态提示。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 w:eastAsia="PingFang SC"/>
          <w:color w:val="1F1F1F"/>
          <w:sz w:val="21"/>
        </w:rPr>
        <w:t>健康类内容表达要避免“治疗”“诊断”“疗效”等容易误导的词汇。</w:t>
      </w:r>
    </w:p>
    <w:p>
      <w:r>
        <w:br w:type="page"/>
      </w:r>
    </w:p>
    <w:p>
      <w:pPr>
        <w:pStyle w:val="Heading1"/>
        <w:keepNext/>
        <w:spacing w:before="360" w:after="200"/>
      </w:pPr>
      <w:r>
        <w:rPr>
          <w:rFonts w:ascii="Calibri" w:hAnsi="Calibri" w:eastAsia="PingFang SC"/>
          <w:b/>
          <w:color w:val="2E74B5"/>
          <w:sz w:val="32"/>
        </w:rPr>
        <w:t>附录：展示素材示意</w:t>
      </w:r>
    </w:p>
    <w:p>
      <w:pPr>
        <w:spacing w:after="160" w:line="300" w:lineRule="auto"/>
      </w:pPr>
      <w:r>
        <w:rPr>
          <w:rFonts w:ascii="Calibri" w:hAnsi="Calibri" w:eastAsia="PingFang SC"/>
          <w:b w:val="0"/>
          <w:color w:val="5F5F5F"/>
          <w:sz w:val="21"/>
        </w:rPr>
        <w:t>以下为小红书 9 宫格展示图总览，可用于说明产品闭环与技术亮点。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6827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-9宫格总览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682752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 w:eastAsia="PingFang SC"/>
        <w:color w:val="5F5F5F"/>
        <w:sz w:val="17"/>
      </w:rPr>
      <w:t>本方案仅描述健康记录与科普式解读能力，不构成医疗诊断或用药建议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rFonts w:ascii="Calibri" w:hAnsi="Calibri" w:eastAsia="PingFang SC"/>
        <w:color w:val="5F5F5F"/>
        <w:sz w:val="18"/>
      </w:rPr>
      <w:t>康康 Kangkang 创意方案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20" w:lineRule="auto"/>
      <w:jc w:val="both"/>
    </w:pPr>
    <w:rPr>
      <w:rFonts w:ascii="Calibri" w:hAnsi="Calibri" w:eastAsia="PingFang SC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PingFang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eastAsia="PingFang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eastAsia="PingFang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eastAsia="PingFang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